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1252" w14:textId="01A283FF" w:rsidR="00AA1693" w:rsidRDefault="00567F27">
      <w:pPr>
        <w:pStyle w:val="a3"/>
        <w:spacing w:before="1"/>
        <w:jc w:val="center"/>
        <w:rPr>
          <w:sz w:val="38"/>
          <w:lang w:val="en-US"/>
        </w:rPr>
      </w:pPr>
      <w:bookmarkStart w:id="0" w:name="_GoBack"/>
      <w:bookmarkEnd w:id="0"/>
      <w:r>
        <w:rPr>
          <w:rFonts w:hint="eastAsia"/>
          <w:sz w:val="38"/>
          <w:lang w:val="en-US"/>
        </w:rPr>
        <w:t>《劳动教育与实践》课程工作量计算办法</w:t>
      </w:r>
      <w:r w:rsidR="00C807D1">
        <w:rPr>
          <w:rFonts w:hint="eastAsia"/>
          <w:sz w:val="38"/>
          <w:lang w:val="en-US"/>
        </w:rPr>
        <w:t>补充说明</w:t>
      </w:r>
    </w:p>
    <w:p w14:paraId="29C1A2C4" w14:textId="0B08EBE1" w:rsidR="00AA1693" w:rsidRPr="000023F4" w:rsidRDefault="00567F27">
      <w:pPr>
        <w:ind w:firstLineChars="200" w:firstLine="600"/>
        <w:rPr>
          <w:rFonts w:ascii="仿宋_GB2312" w:eastAsia="仿宋_GB2312" w:hAnsi="华文仿宋" w:cs="仿宋_GB2312"/>
          <w:kern w:val="2"/>
          <w:sz w:val="30"/>
          <w:szCs w:val="30"/>
          <w:lang w:val="en-US" w:bidi="ar"/>
        </w:rPr>
      </w:pPr>
      <w:r w:rsidRPr="000023F4">
        <w:rPr>
          <w:rFonts w:ascii="仿宋_GB2312" w:eastAsia="仿宋_GB2312" w:hAnsi="Times New Roman" w:cs="Times New Roman" w:hint="eastAsia"/>
          <w:kern w:val="2"/>
          <w:sz w:val="30"/>
          <w:szCs w:val="30"/>
          <w:lang w:val="en-US" w:bidi="ar"/>
        </w:rPr>
        <w:t>根据《中国矿业大学关于专任教师岗位聘期岗位职责的指导意见》</w:t>
      </w:r>
      <w:bookmarkStart w:id="1" w:name="string1"/>
      <w:r w:rsidRPr="000023F4">
        <w:rPr>
          <w:rFonts w:ascii="仿宋_GB2312" w:eastAsia="仿宋_GB2312" w:hAnsi="Times New Roman" w:cs="Times New Roman" w:hint="eastAsia"/>
          <w:kern w:val="2"/>
          <w:sz w:val="30"/>
          <w:szCs w:val="30"/>
          <w:lang w:val="en-US" w:bidi="ar"/>
        </w:rPr>
        <w:t>（</w:t>
      </w:r>
      <w:r w:rsidRPr="000023F4">
        <w:rPr>
          <w:rFonts w:ascii="仿宋_GB2312" w:eastAsia="仿宋_GB2312" w:hAnsi="华文仿宋" w:cs="仿宋_GB2312" w:hint="eastAsia"/>
          <w:kern w:val="2"/>
          <w:sz w:val="30"/>
          <w:szCs w:val="30"/>
          <w:lang w:val="en-US" w:bidi="ar"/>
        </w:rPr>
        <w:t>中矿委〔2021〕63号</w:t>
      </w:r>
      <w:bookmarkEnd w:id="1"/>
      <w:r w:rsidRPr="000023F4">
        <w:rPr>
          <w:rFonts w:ascii="仿宋_GB2312" w:eastAsia="仿宋_GB2312" w:hAnsi="华文仿宋" w:cs="仿宋_GB2312" w:hint="eastAsia"/>
          <w:kern w:val="2"/>
          <w:sz w:val="30"/>
          <w:szCs w:val="30"/>
          <w:lang w:val="en-US" w:bidi="ar"/>
        </w:rPr>
        <w:t>），结合《劳动教育与实践》课程实际情况，</w:t>
      </w:r>
      <w:r w:rsidR="00C807D1" w:rsidRPr="000023F4">
        <w:rPr>
          <w:rFonts w:ascii="仿宋_GB2312" w:eastAsia="仿宋_GB2312" w:hAnsi="华文仿宋" w:cs="仿宋_GB2312" w:hint="eastAsia"/>
          <w:kern w:val="2"/>
          <w:sz w:val="30"/>
          <w:szCs w:val="30"/>
          <w:lang w:val="en-US" w:bidi="ar"/>
        </w:rPr>
        <w:t>特作补充说明</w:t>
      </w:r>
      <w:r w:rsidRPr="000023F4">
        <w:rPr>
          <w:rFonts w:ascii="仿宋_GB2312" w:eastAsia="仿宋_GB2312" w:hAnsi="华文仿宋" w:cs="仿宋_GB2312" w:hint="eastAsia"/>
          <w:kern w:val="2"/>
          <w:sz w:val="30"/>
          <w:szCs w:val="30"/>
          <w:lang w:val="en-US" w:bidi="ar"/>
        </w:rPr>
        <w:t>。</w:t>
      </w:r>
    </w:p>
    <w:p w14:paraId="704DD573" w14:textId="08D397D3" w:rsidR="00C76F70" w:rsidRPr="000023F4" w:rsidRDefault="00C76F70">
      <w:pPr>
        <w:ind w:firstLineChars="200" w:firstLine="600"/>
        <w:rPr>
          <w:rFonts w:ascii="仿宋_GB2312" w:eastAsia="仿宋_GB2312" w:hAnsi="华文仿宋" w:cs="仿宋_GB2312"/>
          <w:kern w:val="2"/>
          <w:sz w:val="30"/>
          <w:szCs w:val="30"/>
          <w:lang w:val="en-US" w:bidi="ar"/>
        </w:rPr>
      </w:pPr>
      <w:r w:rsidRPr="000023F4">
        <w:rPr>
          <w:rFonts w:ascii="仿宋_GB2312" w:eastAsia="仿宋_GB2312" w:hAnsi="华文仿宋" w:cs="仿宋_GB2312"/>
          <w:kern w:val="2"/>
          <w:sz w:val="30"/>
          <w:szCs w:val="30"/>
          <w:lang w:val="en-US" w:bidi="ar"/>
        </w:rPr>
        <w:t>1.</w:t>
      </w:r>
      <w:r w:rsidRPr="000023F4">
        <w:rPr>
          <w:rFonts w:ascii="仿宋_GB2312" w:eastAsia="仿宋_GB2312" w:hAnsi="华文仿宋" w:cs="仿宋_GB2312" w:hint="eastAsia"/>
          <w:kern w:val="2"/>
          <w:sz w:val="30"/>
          <w:szCs w:val="30"/>
          <w:lang w:val="en-US" w:bidi="ar"/>
        </w:rPr>
        <w:t>工作量计算</w:t>
      </w:r>
    </w:p>
    <w:p w14:paraId="5652C323" w14:textId="1FD2A4F2" w:rsidR="00AA1693" w:rsidRPr="000023F4" w:rsidRDefault="00567F27">
      <w:pPr>
        <w:spacing w:line="520" w:lineRule="exact"/>
        <w:ind w:firstLineChars="200" w:firstLine="600"/>
        <w:jc w:val="both"/>
        <w:rPr>
          <w:rFonts w:ascii="仿宋_GB2312" w:eastAsia="仿宋_GB2312" w:hAnsi="Times New Roman" w:cs="仿宋_GB2312"/>
          <w:sz w:val="30"/>
          <w:szCs w:val="30"/>
          <w:lang w:val="en-US"/>
        </w:rPr>
      </w:pPr>
      <w:r w:rsidRPr="000023F4">
        <w:rPr>
          <w:rFonts w:ascii="仿宋_GB2312" w:eastAsia="仿宋_GB2312" w:hAnsi="Times New Roman" w:cs="仿宋_GB2312" w:hint="eastAsia"/>
          <w:kern w:val="2"/>
          <w:sz w:val="30"/>
          <w:szCs w:val="30"/>
          <w:lang w:val="en-US" w:bidi="ar"/>
        </w:rPr>
        <w:t>Q=∑ C×K×P</w:t>
      </w:r>
      <w:r w:rsidR="000023F4" w:rsidRPr="000023F4">
        <w:rPr>
          <w:rFonts w:ascii="仿宋_GB2312" w:eastAsia="仿宋_GB2312" w:hAnsi="Times New Roman" w:cs="仿宋_GB2312" w:hint="eastAsia"/>
          <w:kern w:val="2"/>
          <w:sz w:val="30"/>
          <w:szCs w:val="30"/>
          <w:lang w:val="en-US" w:bidi="ar"/>
        </w:rPr>
        <w:t>，</w:t>
      </w:r>
      <w:r w:rsidRPr="000023F4">
        <w:rPr>
          <w:rFonts w:ascii="仿宋_GB2312" w:eastAsia="仿宋_GB2312" w:hAnsi="Times New Roman" w:cs="仿宋_GB2312" w:hint="eastAsia"/>
          <w:kern w:val="2"/>
          <w:sz w:val="30"/>
          <w:szCs w:val="30"/>
          <w:lang w:val="en-US" w:bidi="ar"/>
        </w:rPr>
        <w:t>其中，Q 为当量学时，C 为教务系统中录入的劳动教育与实践理论教学或实践项目学时，K 为课程系数，P 为每组人数系数（以学生数为计算单位），见下表。</w:t>
      </w:r>
    </w:p>
    <w:p w14:paraId="4014FA58" w14:textId="77777777" w:rsidR="00AA1693" w:rsidRDefault="00567F27">
      <w:pPr>
        <w:spacing w:line="520" w:lineRule="exact"/>
        <w:jc w:val="center"/>
        <w:rPr>
          <w:rFonts w:ascii="Times New Roman" w:eastAsia="仿宋_GB2312" w:hAnsi="Times New Roman" w:cs="Times New Roman"/>
          <w:sz w:val="24"/>
          <w:szCs w:val="24"/>
          <w:lang w:val="en-US"/>
        </w:rPr>
      </w:pPr>
      <w:r>
        <w:rPr>
          <w:rFonts w:ascii="Times New Roman" w:eastAsia="仿宋_GB2312" w:hAnsi="Times New Roman" w:cs="Times New Roman" w:hint="eastAsia"/>
          <w:kern w:val="2"/>
          <w:sz w:val="24"/>
          <w:szCs w:val="24"/>
          <w:lang w:val="en-US" w:bidi="ar"/>
        </w:rPr>
        <w:t>课程</w:t>
      </w:r>
      <w:r>
        <w:rPr>
          <w:rFonts w:ascii="Times New Roman" w:eastAsia="仿宋_GB2312" w:hAnsi="Times New Roman" w:cs="Times New Roman"/>
          <w:kern w:val="2"/>
          <w:sz w:val="24"/>
          <w:szCs w:val="24"/>
          <w:lang w:val="en-US" w:bidi="ar"/>
        </w:rPr>
        <w:t>K</w:t>
      </w:r>
      <w:r>
        <w:rPr>
          <w:rFonts w:ascii="Times New Roman" w:eastAsia="仿宋_GB2312" w:hAnsi="Times New Roman" w:cs="仿宋_GB2312" w:hint="eastAsia"/>
          <w:kern w:val="2"/>
          <w:sz w:val="24"/>
          <w:szCs w:val="24"/>
          <w:lang w:val="en-US" w:bidi="ar"/>
        </w:rPr>
        <w:t>和</w:t>
      </w:r>
      <w:r>
        <w:rPr>
          <w:rFonts w:ascii="Times New Roman" w:eastAsia="仿宋_GB2312" w:hAnsi="Times New Roman" w:cs="Times New Roman"/>
          <w:kern w:val="2"/>
          <w:sz w:val="24"/>
          <w:szCs w:val="24"/>
          <w:lang w:val="en-US" w:bidi="ar"/>
        </w:rPr>
        <w:t>P</w:t>
      </w:r>
      <w:r>
        <w:rPr>
          <w:rFonts w:ascii="Times New Roman" w:eastAsia="仿宋_GB2312" w:hAnsi="Times New Roman" w:cs="仿宋_GB2312" w:hint="eastAsia"/>
          <w:kern w:val="2"/>
          <w:sz w:val="24"/>
          <w:szCs w:val="24"/>
          <w:lang w:val="en-US" w:bidi="ar"/>
        </w:rPr>
        <w:t>系数表</w:t>
      </w:r>
    </w:p>
    <w:tbl>
      <w:tblPr>
        <w:tblW w:w="7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689"/>
        <w:gridCol w:w="4619"/>
      </w:tblGrid>
      <w:tr w:rsidR="00AA1693" w14:paraId="210A08A3" w14:textId="77777777">
        <w:trPr>
          <w:trHeight w:val="511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D9A2" w14:textId="77777777" w:rsidR="00AA1693" w:rsidRDefault="00567F27">
            <w:pPr>
              <w:pStyle w:val="TableParagraph"/>
              <w:widowControl/>
              <w:spacing w:before="162"/>
              <w:ind w:left="170"/>
              <w:jc w:val="center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劳动教育与实践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09A0" w14:textId="77777777" w:rsidR="00AA1693" w:rsidRDefault="00567F27">
            <w:pPr>
              <w:pStyle w:val="TableParagraph"/>
              <w:widowControl/>
              <w:spacing w:before="162"/>
              <w:jc w:val="center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 w:hint="default"/>
                <w:sz w:val="24"/>
                <w:szCs w:val="24"/>
              </w:rPr>
              <w:t>K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F6A5" w14:textId="77777777" w:rsidR="00AA1693" w:rsidRDefault="00567F27">
            <w:pPr>
              <w:pStyle w:val="TableParagraph"/>
              <w:widowControl/>
              <w:ind w:left="170"/>
              <w:jc w:val="center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 w:hint="default"/>
                <w:sz w:val="24"/>
                <w:szCs w:val="24"/>
              </w:rPr>
              <w:t>P</w:t>
            </w:r>
          </w:p>
        </w:tc>
      </w:tr>
      <w:tr w:rsidR="00AA1693" w:rsidRPr="009F32F7" w14:paraId="7B0AC05B" w14:textId="77777777">
        <w:trPr>
          <w:trHeight w:val="1215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0FE3" w14:textId="77777777" w:rsidR="00AA1693" w:rsidRDefault="00567F27">
            <w:pPr>
              <w:pStyle w:val="TableParagraph"/>
              <w:widowControl/>
              <w:spacing w:before="162"/>
              <w:ind w:left="170"/>
              <w:jc w:val="center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理论教学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338F" w14:textId="77777777" w:rsidR="00AA1693" w:rsidRDefault="00567F27">
            <w:pPr>
              <w:pStyle w:val="TableParagraph"/>
              <w:widowControl/>
              <w:spacing w:before="162"/>
              <w:ind w:left="170"/>
              <w:jc w:val="center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1.1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C259" w14:textId="77777777" w:rsidR="00AA1693" w:rsidRDefault="00567F27">
            <w:pPr>
              <w:pStyle w:val="TableParagraph"/>
              <w:widowControl/>
              <w:ind w:left="170"/>
              <w:jc w:val="both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≤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60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P=1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；</w:t>
            </w:r>
          </w:p>
          <w:p w14:paraId="5C5AC285" w14:textId="77777777" w:rsidR="00AA1693" w:rsidRDefault="00567F27">
            <w:pPr>
              <w:pStyle w:val="TableParagraph"/>
              <w:widowControl/>
              <w:ind w:left="170"/>
              <w:jc w:val="both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61-90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人，每增加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P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增加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0.02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；</w:t>
            </w:r>
          </w:p>
          <w:p w14:paraId="20E561A1" w14:textId="77777777" w:rsidR="00AA1693" w:rsidRDefault="00567F27">
            <w:pPr>
              <w:pStyle w:val="TableParagraph"/>
              <w:widowControl/>
              <w:ind w:left="170"/>
              <w:jc w:val="both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91-120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人，每增加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P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增加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0.008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；</w:t>
            </w:r>
          </w:p>
          <w:p w14:paraId="1ADF13E4" w14:textId="77777777" w:rsidR="00AA1693" w:rsidRDefault="00567F27" w:rsidP="00F75632">
            <w:pPr>
              <w:pStyle w:val="TableParagraph"/>
              <w:widowControl/>
              <w:ind w:left="170"/>
              <w:jc w:val="both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＞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人，每增加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P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增加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0.004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。</w:t>
            </w:r>
          </w:p>
        </w:tc>
      </w:tr>
      <w:tr w:rsidR="00AA1693" w:rsidRPr="009F32F7" w14:paraId="29FCAE47" w14:textId="77777777">
        <w:trPr>
          <w:trHeight w:val="1215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5B8B" w14:textId="77777777" w:rsidR="00AA1693" w:rsidRDefault="00567F27">
            <w:pPr>
              <w:pStyle w:val="TableParagraph"/>
              <w:widowControl/>
              <w:spacing w:before="162"/>
              <w:ind w:left="170"/>
              <w:jc w:val="center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实践项目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C055" w14:textId="77777777" w:rsidR="00AA1693" w:rsidRDefault="00567F27">
            <w:pPr>
              <w:pStyle w:val="TableParagraph"/>
              <w:widowControl/>
              <w:spacing w:before="162"/>
              <w:ind w:left="170"/>
              <w:jc w:val="center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 w:hint="default"/>
                <w:sz w:val="24"/>
                <w:szCs w:val="24"/>
              </w:rPr>
              <w:t>1.0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558BE" w14:textId="77777777" w:rsidR="00AA1693" w:rsidRDefault="00567F27">
            <w:pPr>
              <w:pStyle w:val="TableParagraph"/>
              <w:widowControl/>
              <w:ind w:left="170"/>
              <w:jc w:val="both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 w:hint="default"/>
                <w:sz w:val="24"/>
                <w:szCs w:val="24"/>
              </w:rPr>
              <w:t xml:space="preserve">≤15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人，</w:t>
            </w:r>
            <w:r>
              <w:rPr>
                <w:rFonts w:ascii="Times New Roman" w:eastAsia="仿宋" w:hAnsi="Times New Roman" w:hint="default"/>
                <w:sz w:val="24"/>
                <w:szCs w:val="24"/>
              </w:rPr>
              <w:t>P=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0.6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；</w:t>
            </w:r>
          </w:p>
          <w:p w14:paraId="54CA3F06" w14:textId="77777777" w:rsidR="00AA1693" w:rsidRDefault="00567F27">
            <w:pPr>
              <w:pStyle w:val="TableParagraph"/>
              <w:widowControl/>
              <w:ind w:left="170"/>
              <w:jc w:val="both"/>
              <w:rPr>
                <w:rFonts w:ascii="Times New Roman" w:eastAsia="仿宋" w:hAnsi="Times New Roman" w:hint="default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仿宋" w:hAnsi="Times New Roman" w:hint="default"/>
                <w:sz w:val="24"/>
                <w:szCs w:val="24"/>
              </w:rPr>
              <w:t xml:space="preserve">16-30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人，每增加</w:t>
            </w:r>
            <w:r>
              <w:rPr>
                <w:rFonts w:ascii="Times New Roman" w:eastAsia="仿宋" w:hAnsi="Times New Roman" w:hint="default"/>
                <w:sz w:val="24"/>
                <w:szCs w:val="24"/>
              </w:rPr>
              <w:t xml:space="preserve"> 1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</w:t>
            </w:r>
            <w:r>
              <w:rPr>
                <w:rFonts w:ascii="Times New Roman" w:eastAsia="仿宋" w:hAnsi="Times New Roman" w:hint="default"/>
                <w:sz w:val="24"/>
                <w:szCs w:val="24"/>
              </w:rPr>
              <w:t xml:space="preserve"> P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增加</w:t>
            </w:r>
            <w:r w:rsidRPr="00615205">
              <w:rPr>
                <w:rFonts w:ascii="Times New Roman" w:eastAsia="仿宋" w:hAnsi="Times New Roman" w:hint="default"/>
                <w:color w:val="FF0000"/>
                <w:sz w:val="24"/>
                <w:szCs w:val="24"/>
              </w:rPr>
              <w:t xml:space="preserve"> </w:t>
            </w:r>
            <w:r w:rsidRPr="00C76F70">
              <w:rPr>
                <w:rFonts w:ascii="Times New Roman" w:eastAsia="仿宋" w:hAnsi="Times New Roman" w:hint="default"/>
                <w:sz w:val="24"/>
                <w:szCs w:val="24"/>
              </w:rPr>
              <w:t>0.0</w:t>
            </w:r>
            <w:r w:rsidR="006A0756" w:rsidRPr="00C76F70">
              <w:rPr>
                <w:rFonts w:ascii="Times New Roman" w:eastAsia="仿宋" w:hAnsi="Times New Roman" w:hint="default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；</w:t>
            </w:r>
          </w:p>
          <w:p w14:paraId="6DE0A663" w14:textId="77777777" w:rsidR="00AA1693" w:rsidRDefault="00567F27">
            <w:pPr>
              <w:pStyle w:val="TableParagraph"/>
              <w:widowControl/>
              <w:ind w:left="170"/>
              <w:jc w:val="both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31-60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人，每增加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P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增加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0.00</w:t>
            </w:r>
            <w:r w:rsidR="006A0756">
              <w:rPr>
                <w:rFonts w:ascii="Times New Roman" w:eastAsia="仿宋" w:hAnsi="Times New Roman" w:hint="default"/>
                <w:sz w:val="24"/>
                <w:szCs w:val="24"/>
              </w:rPr>
              <w:t>8</w:t>
            </w:r>
          </w:p>
          <w:p w14:paraId="5E5C22AB" w14:textId="77777777" w:rsidR="00AA1693" w:rsidRDefault="00567F27">
            <w:pPr>
              <w:pStyle w:val="TableParagraph"/>
              <w:widowControl/>
              <w:ind w:left="170"/>
              <w:jc w:val="both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61-90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人，每增加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P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增加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0.00</w:t>
            </w:r>
            <w:r w:rsidR="006A0756">
              <w:rPr>
                <w:rFonts w:ascii="Times New Roman" w:eastAsia="仿宋" w:hAnsi="Times New Roman" w:hint="default"/>
                <w:sz w:val="24"/>
                <w:szCs w:val="24"/>
              </w:rPr>
              <w:t>4</w:t>
            </w:r>
          </w:p>
          <w:p w14:paraId="0FAAD9F5" w14:textId="77777777" w:rsidR="00AA1693" w:rsidRDefault="00567F27">
            <w:pPr>
              <w:pStyle w:val="TableParagraph"/>
              <w:widowControl/>
              <w:ind w:left="170"/>
              <w:jc w:val="both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91-120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人，每增加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P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增加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0.00</w:t>
            </w:r>
            <w:r w:rsidR="006A0756">
              <w:rPr>
                <w:rFonts w:ascii="Times New Roman" w:eastAsia="仿宋" w:hAnsi="Times New Roman" w:hint="default"/>
                <w:sz w:val="24"/>
                <w:szCs w:val="24"/>
              </w:rPr>
              <w:t>2</w:t>
            </w:r>
          </w:p>
          <w:p w14:paraId="28784BB2" w14:textId="77777777" w:rsidR="00AA1693" w:rsidRDefault="00567F27">
            <w:pPr>
              <w:pStyle w:val="TableParagraph"/>
              <w:widowControl/>
              <w:ind w:left="170"/>
              <w:jc w:val="both"/>
              <w:rPr>
                <w:rFonts w:ascii="Times New Roman" w:eastAsia="仿宋" w:hAnsi="Times New Roman" w:hint="default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＞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120</w:t>
            </w:r>
            <w:r>
              <w:rPr>
                <w:rFonts w:ascii="Times New Roman" w:eastAsia="仿宋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人，</w:t>
            </w:r>
            <w:r>
              <w:rPr>
                <w:rFonts w:ascii="Times New Roman" w:eastAsia="仿宋" w:hAnsi="Times New Roman" w:hint="default"/>
                <w:sz w:val="24"/>
                <w:szCs w:val="24"/>
              </w:rPr>
              <w:t>P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不再增加。</w:t>
            </w:r>
          </w:p>
        </w:tc>
      </w:tr>
    </w:tbl>
    <w:p w14:paraId="5D7B0B12" w14:textId="4815C0D7" w:rsidR="00C76F70" w:rsidRPr="000023F4" w:rsidRDefault="00C76F70" w:rsidP="00CB6FF8">
      <w:pPr>
        <w:ind w:firstLineChars="200" w:firstLine="600"/>
        <w:rPr>
          <w:rFonts w:ascii="仿宋_GB2312" w:eastAsia="仿宋_GB2312" w:hAnsi="华文仿宋" w:cs="仿宋_GB2312"/>
          <w:kern w:val="2"/>
          <w:sz w:val="30"/>
          <w:szCs w:val="30"/>
          <w:lang w:val="en-US" w:bidi="ar"/>
        </w:rPr>
      </w:pPr>
      <w:r w:rsidRPr="000023F4">
        <w:rPr>
          <w:rFonts w:ascii="仿宋_GB2312" w:eastAsia="仿宋_GB2312" w:hAnsi="华文仿宋" w:cs="仿宋_GB2312" w:hint="eastAsia"/>
          <w:kern w:val="2"/>
          <w:sz w:val="30"/>
          <w:szCs w:val="30"/>
          <w:lang w:val="en-US" w:bidi="ar"/>
        </w:rPr>
        <w:t>2</w:t>
      </w:r>
      <w:r w:rsidRPr="000023F4">
        <w:rPr>
          <w:rFonts w:ascii="仿宋_GB2312" w:eastAsia="仿宋_GB2312" w:hAnsi="华文仿宋" w:cs="仿宋_GB2312"/>
          <w:kern w:val="2"/>
          <w:sz w:val="30"/>
          <w:szCs w:val="30"/>
          <w:lang w:val="en-US" w:bidi="ar"/>
        </w:rPr>
        <w:t>.</w:t>
      </w:r>
      <w:r w:rsidRPr="000023F4">
        <w:rPr>
          <w:rFonts w:ascii="仿宋_GB2312" w:eastAsia="仿宋_GB2312" w:hAnsi="华文仿宋" w:cs="仿宋_GB2312" w:hint="eastAsia"/>
          <w:kern w:val="2"/>
          <w:sz w:val="30"/>
          <w:szCs w:val="30"/>
          <w:lang w:val="en-US" w:bidi="ar"/>
        </w:rPr>
        <w:t>劳动教育实践项目库的专业劳动实践、特色劳动实践等均依据</w:t>
      </w:r>
      <w:r w:rsidR="004C2464" w:rsidRPr="000023F4">
        <w:rPr>
          <w:rFonts w:ascii="仿宋_GB2312" w:eastAsia="仿宋_GB2312" w:hAnsi="华文仿宋" w:cs="仿宋_GB2312" w:hint="eastAsia"/>
          <w:kern w:val="2"/>
          <w:sz w:val="30"/>
          <w:szCs w:val="30"/>
          <w:lang w:val="en-US" w:bidi="ar"/>
        </w:rPr>
        <w:t>第一条计算工作量。日常劳动不计入工作量。</w:t>
      </w:r>
    </w:p>
    <w:p w14:paraId="30428483" w14:textId="16B505F8" w:rsidR="00B60357" w:rsidRDefault="004C2464" w:rsidP="00CB6FF8">
      <w:pPr>
        <w:ind w:firstLineChars="200" w:firstLine="600"/>
        <w:rPr>
          <w:rFonts w:ascii="仿宋_GB2312" w:eastAsia="仿宋_GB2312" w:hAnsi="华文仿宋" w:cs="仿宋_GB2312"/>
          <w:kern w:val="2"/>
          <w:sz w:val="30"/>
          <w:szCs w:val="30"/>
          <w:lang w:val="en-US" w:bidi="ar"/>
        </w:rPr>
      </w:pPr>
      <w:r w:rsidRPr="000023F4">
        <w:rPr>
          <w:rFonts w:ascii="仿宋_GB2312" w:eastAsia="仿宋_GB2312" w:hAnsi="华文仿宋" w:cs="仿宋_GB2312" w:hint="eastAsia"/>
          <w:kern w:val="2"/>
          <w:sz w:val="30"/>
          <w:szCs w:val="30"/>
          <w:lang w:val="en-US" w:bidi="ar"/>
        </w:rPr>
        <w:t>3</w:t>
      </w:r>
      <w:r w:rsidRPr="000023F4">
        <w:rPr>
          <w:rFonts w:ascii="仿宋_GB2312" w:eastAsia="仿宋_GB2312" w:hAnsi="华文仿宋" w:cs="仿宋_GB2312"/>
          <w:kern w:val="2"/>
          <w:sz w:val="30"/>
          <w:szCs w:val="30"/>
          <w:lang w:val="en-US" w:bidi="ar"/>
        </w:rPr>
        <w:t>.</w:t>
      </w:r>
      <w:r w:rsidRPr="000023F4">
        <w:rPr>
          <w:rFonts w:ascii="仿宋_GB2312" w:eastAsia="仿宋_GB2312" w:hAnsi="华文仿宋" w:cs="仿宋_GB2312" w:hint="eastAsia"/>
          <w:kern w:val="2"/>
          <w:sz w:val="30"/>
          <w:szCs w:val="30"/>
          <w:lang w:val="en-US" w:bidi="ar"/>
        </w:rPr>
        <w:t>面向全校开设的</w:t>
      </w:r>
      <w:r w:rsidR="00905B5D" w:rsidRPr="000023F4">
        <w:rPr>
          <w:rFonts w:ascii="仿宋_GB2312" w:eastAsia="仿宋_GB2312" w:hAnsi="华文仿宋" w:cs="仿宋_GB2312"/>
          <w:kern w:val="2"/>
          <w:sz w:val="30"/>
          <w:szCs w:val="30"/>
          <w:lang w:val="en-US" w:bidi="ar"/>
        </w:rPr>
        <w:t>26</w:t>
      </w:r>
      <w:r w:rsidR="00905B5D" w:rsidRPr="000023F4">
        <w:rPr>
          <w:rFonts w:ascii="仿宋_GB2312" w:eastAsia="仿宋_GB2312" w:hAnsi="华文仿宋" w:cs="仿宋_GB2312" w:hint="eastAsia"/>
          <w:kern w:val="2"/>
          <w:sz w:val="30"/>
          <w:szCs w:val="30"/>
          <w:lang w:val="en-US" w:bidi="ar"/>
        </w:rPr>
        <w:t>个学时</w:t>
      </w:r>
      <w:r w:rsidRPr="000023F4">
        <w:rPr>
          <w:rFonts w:ascii="仿宋_GB2312" w:eastAsia="仿宋_GB2312" w:hAnsi="华文仿宋" w:cs="仿宋_GB2312" w:hint="eastAsia"/>
          <w:kern w:val="2"/>
          <w:sz w:val="30"/>
          <w:szCs w:val="30"/>
          <w:lang w:val="en-US" w:bidi="ar"/>
        </w:rPr>
        <w:t>特色劳动实践课程，</w:t>
      </w:r>
      <w:r w:rsidR="001064AF" w:rsidRPr="000023F4">
        <w:rPr>
          <w:rFonts w:ascii="仿宋_GB2312" w:eastAsia="仿宋_GB2312" w:hAnsi="华文仿宋" w:cs="仿宋_GB2312" w:hint="eastAsia"/>
          <w:kern w:val="2"/>
          <w:sz w:val="30"/>
          <w:szCs w:val="30"/>
          <w:lang w:val="en-US" w:bidi="ar"/>
        </w:rPr>
        <w:t>开设单位为学院的由教务部结算给学院，开设单位为非学院的，由教务部结算给开课个人。</w:t>
      </w:r>
      <w:r w:rsidR="00EC05B2" w:rsidRPr="000023F4">
        <w:rPr>
          <w:rFonts w:ascii="仿宋_GB2312" w:eastAsia="仿宋_GB2312" w:hAnsi="华文仿宋" w:cs="仿宋_GB2312" w:hint="eastAsia"/>
          <w:kern w:val="2"/>
          <w:sz w:val="30"/>
          <w:szCs w:val="30"/>
          <w:lang w:val="en-US" w:bidi="ar"/>
        </w:rPr>
        <w:t>各学院面向本学院开设的劳动实践项目，教务部不再进行结算。</w:t>
      </w:r>
    </w:p>
    <w:p w14:paraId="29265B19" w14:textId="1D696803" w:rsidR="00AA1693" w:rsidRPr="000023F4" w:rsidRDefault="00567F27">
      <w:pPr>
        <w:spacing w:line="520" w:lineRule="exact"/>
        <w:ind w:left="660"/>
        <w:jc w:val="both"/>
        <w:rPr>
          <w:rFonts w:ascii="仿宋_GB2312" w:eastAsia="仿宋_GB2312" w:hAnsi="Times New Roman" w:cs="仿宋_GB2312"/>
          <w:kern w:val="2"/>
          <w:sz w:val="30"/>
          <w:szCs w:val="30"/>
          <w:lang w:val="en-US" w:bidi="ar"/>
        </w:rPr>
      </w:pPr>
      <w:r w:rsidRPr="000D793D">
        <w:rPr>
          <w:rFonts w:ascii="仿宋_GB2312" w:eastAsia="仿宋_GB2312" w:hAnsi="Times New Roman" w:cs="仿宋_GB2312" w:hint="eastAsia"/>
          <w:color w:val="FF0000"/>
          <w:kern w:val="2"/>
          <w:sz w:val="30"/>
          <w:szCs w:val="30"/>
          <w:lang w:val="en-US" w:bidi="ar"/>
        </w:rPr>
        <w:t xml:space="preserve">                               </w:t>
      </w:r>
      <w:r w:rsidR="00750052" w:rsidRPr="000D793D">
        <w:rPr>
          <w:rFonts w:ascii="仿宋_GB2312" w:eastAsia="仿宋_GB2312" w:hAnsi="Times New Roman" w:cs="仿宋_GB2312"/>
          <w:color w:val="FF0000"/>
          <w:kern w:val="2"/>
          <w:sz w:val="30"/>
          <w:szCs w:val="30"/>
          <w:lang w:val="en-US" w:bidi="ar"/>
        </w:rPr>
        <w:t xml:space="preserve">   </w:t>
      </w:r>
      <w:r w:rsidRPr="000D793D">
        <w:rPr>
          <w:rFonts w:ascii="仿宋_GB2312" w:eastAsia="仿宋_GB2312" w:hAnsi="Times New Roman" w:cs="仿宋_GB2312" w:hint="eastAsia"/>
          <w:color w:val="FF0000"/>
          <w:kern w:val="2"/>
          <w:sz w:val="30"/>
          <w:szCs w:val="30"/>
          <w:lang w:val="en-US" w:bidi="ar"/>
        </w:rPr>
        <w:t xml:space="preserve"> </w:t>
      </w:r>
      <w:r w:rsidRPr="000023F4">
        <w:rPr>
          <w:rFonts w:ascii="仿宋_GB2312" w:eastAsia="仿宋_GB2312" w:hAnsi="Times New Roman" w:cs="仿宋_GB2312" w:hint="eastAsia"/>
          <w:kern w:val="2"/>
          <w:sz w:val="30"/>
          <w:szCs w:val="30"/>
          <w:lang w:val="en-US" w:bidi="ar"/>
        </w:rPr>
        <w:t xml:space="preserve">  教务部</w:t>
      </w:r>
    </w:p>
    <w:p w14:paraId="3F819471" w14:textId="7AE2D4B9" w:rsidR="00AA1693" w:rsidRPr="000023F4" w:rsidRDefault="00567F27">
      <w:pPr>
        <w:spacing w:line="520" w:lineRule="exact"/>
        <w:ind w:left="660"/>
        <w:jc w:val="both"/>
        <w:rPr>
          <w:rFonts w:ascii="仿宋_GB2312" w:eastAsia="仿宋_GB2312" w:hAnsi="Times New Roman" w:cs="仿宋_GB2312"/>
          <w:kern w:val="2"/>
          <w:sz w:val="30"/>
          <w:szCs w:val="30"/>
          <w:lang w:val="en-US" w:bidi="ar"/>
        </w:rPr>
      </w:pPr>
      <w:r w:rsidRPr="000023F4">
        <w:rPr>
          <w:rFonts w:ascii="仿宋_GB2312" w:eastAsia="仿宋_GB2312" w:hAnsi="Times New Roman" w:cs="仿宋_GB2312" w:hint="eastAsia"/>
          <w:kern w:val="2"/>
          <w:sz w:val="30"/>
          <w:szCs w:val="30"/>
          <w:lang w:val="en-US" w:bidi="ar"/>
        </w:rPr>
        <w:t xml:space="preserve">                        </w:t>
      </w:r>
      <w:r w:rsidR="00750052">
        <w:rPr>
          <w:rFonts w:ascii="仿宋_GB2312" w:eastAsia="仿宋_GB2312" w:hAnsi="Times New Roman" w:cs="仿宋_GB2312"/>
          <w:kern w:val="2"/>
          <w:sz w:val="30"/>
          <w:szCs w:val="30"/>
          <w:lang w:val="en-US" w:bidi="ar"/>
        </w:rPr>
        <w:t xml:space="preserve">    </w:t>
      </w:r>
      <w:r w:rsidRPr="000023F4">
        <w:rPr>
          <w:rFonts w:ascii="仿宋_GB2312" w:eastAsia="仿宋_GB2312" w:hAnsi="Times New Roman" w:cs="仿宋_GB2312" w:hint="eastAsia"/>
          <w:kern w:val="2"/>
          <w:sz w:val="30"/>
          <w:szCs w:val="30"/>
          <w:lang w:val="en-US" w:bidi="ar"/>
        </w:rPr>
        <w:t xml:space="preserve">  二〇二二年十</w:t>
      </w:r>
      <w:r w:rsidR="00514F02" w:rsidRPr="000023F4">
        <w:rPr>
          <w:rFonts w:ascii="仿宋_GB2312" w:eastAsia="仿宋_GB2312" w:hAnsi="Times New Roman" w:cs="仿宋_GB2312" w:hint="eastAsia"/>
          <w:kern w:val="2"/>
          <w:sz w:val="30"/>
          <w:szCs w:val="30"/>
          <w:lang w:val="en-US" w:bidi="ar"/>
        </w:rPr>
        <w:t>二</w:t>
      </w:r>
      <w:r w:rsidRPr="000023F4">
        <w:rPr>
          <w:rFonts w:ascii="仿宋_GB2312" w:eastAsia="仿宋_GB2312" w:hAnsi="Times New Roman" w:cs="仿宋_GB2312" w:hint="eastAsia"/>
          <w:kern w:val="2"/>
          <w:sz w:val="30"/>
          <w:szCs w:val="30"/>
          <w:lang w:val="en-US" w:bidi="ar"/>
        </w:rPr>
        <w:t>月</w:t>
      </w:r>
      <w:r w:rsidR="009F32F7">
        <w:rPr>
          <w:rFonts w:ascii="仿宋_GB2312" w:eastAsia="仿宋_GB2312" w:hAnsi="Times New Roman" w:cs="仿宋_GB2312" w:hint="eastAsia"/>
          <w:kern w:val="2"/>
          <w:sz w:val="30"/>
          <w:szCs w:val="30"/>
          <w:lang w:val="en-US" w:bidi="ar"/>
        </w:rPr>
        <w:t>十七</w:t>
      </w:r>
      <w:r w:rsidRPr="000023F4">
        <w:rPr>
          <w:rFonts w:ascii="仿宋_GB2312" w:eastAsia="仿宋_GB2312" w:hAnsi="Times New Roman" w:cs="仿宋_GB2312" w:hint="eastAsia"/>
          <w:kern w:val="2"/>
          <w:sz w:val="30"/>
          <w:szCs w:val="30"/>
          <w:lang w:val="en-US" w:bidi="ar"/>
        </w:rPr>
        <w:t>日</w:t>
      </w:r>
    </w:p>
    <w:sectPr w:rsidR="00AA1693" w:rsidRPr="000023F4" w:rsidSect="00CB14F4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4C91" w14:textId="77777777" w:rsidR="001B1E99" w:rsidRDefault="001B1E99">
      <w:r>
        <w:separator/>
      </w:r>
    </w:p>
  </w:endnote>
  <w:endnote w:type="continuationSeparator" w:id="0">
    <w:p w14:paraId="3D701320" w14:textId="77777777" w:rsidR="001B1E99" w:rsidRDefault="001B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033CF" w14:textId="77777777" w:rsidR="001B1E99" w:rsidRDefault="001B1E99">
      <w:r>
        <w:separator/>
      </w:r>
    </w:p>
  </w:footnote>
  <w:footnote w:type="continuationSeparator" w:id="0">
    <w:p w14:paraId="416EA5B0" w14:textId="77777777" w:rsidR="001B1E99" w:rsidRDefault="001B1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c2ODE0YTIyYTU0MzA1ZmE4MTU3YjBmOTI4ZjM5YjEifQ=="/>
  </w:docVars>
  <w:rsids>
    <w:rsidRoot w:val="61F73B75"/>
    <w:rsid w:val="000023F4"/>
    <w:rsid w:val="000359D0"/>
    <w:rsid w:val="00051764"/>
    <w:rsid w:val="000A45D0"/>
    <w:rsid w:val="000D793D"/>
    <w:rsid w:val="001064AF"/>
    <w:rsid w:val="001956EE"/>
    <w:rsid w:val="001B1E99"/>
    <w:rsid w:val="00234CFE"/>
    <w:rsid w:val="002C4F5F"/>
    <w:rsid w:val="003B293E"/>
    <w:rsid w:val="003C3B59"/>
    <w:rsid w:val="004312DB"/>
    <w:rsid w:val="00472C7E"/>
    <w:rsid w:val="004C2464"/>
    <w:rsid w:val="00514F02"/>
    <w:rsid w:val="00541FB9"/>
    <w:rsid w:val="00566D78"/>
    <w:rsid w:val="00567F27"/>
    <w:rsid w:val="00615205"/>
    <w:rsid w:val="006719F7"/>
    <w:rsid w:val="00682676"/>
    <w:rsid w:val="006A0756"/>
    <w:rsid w:val="00750052"/>
    <w:rsid w:val="007C2134"/>
    <w:rsid w:val="00895CE1"/>
    <w:rsid w:val="00905B5D"/>
    <w:rsid w:val="00934025"/>
    <w:rsid w:val="009B1E87"/>
    <w:rsid w:val="009F32F7"/>
    <w:rsid w:val="00A35A01"/>
    <w:rsid w:val="00AA1693"/>
    <w:rsid w:val="00AF36F7"/>
    <w:rsid w:val="00B60357"/>
    <w:rsid w:val="00C02B69"/>
    <w:rsid w:val="00C76F70"/>
    <w:rsid w:val="00C807D1"/>
    <w:rsid w:val="00CB14F4"/>
    <w:rsid w:val="00CB6FF8"/>
    <w:rsid w:val="00DC3DA8"/>
    <w:rsid w:val="00DC6CAA"/>
    <w:rsid w:val="00DF5874"/>
    <w:rsid w:val="00E31CCC"/>
    <w:rsid w:val="00EA6B7E"/>
    <w:rsid w:val="00EC05B2"/>
    <w:rsid w:val="00EF6CB7"/>
    <w:rsid w:val="00F75632"/>
    <w:rsid w:val="00F95883"/>
    <w:rsid w:val="00FD1E92"/>
    <w:rsid w:val="00FF2847"/>
    <w:rsid w:val="052E124A"/>
    <w:rsid w:val="13490601"/>
    <w:rsid w:val="13BF6171"/>
    <w:rsid w:val="16BA3ED8"/>
    <w:rsid w:val="1B682381"/>
    <w:rsid w:val="21715EF5"/>
    <w:rsid w:val="23765DB9"/>
    <w:rsid w:val="24284DA4"/>
    <w:rsid w:val="260915DC"/>
    <w:rsid w:val="2A9C5BA4"/>
    <w:rsid w:val="2C267E1B"/>
    <w:rsid w:val="35C35CD5"/>
    <w:rsid w:val="3BC53255"/>
    <w:rsid w:val="3BE62BBF"/>
    <w:rsid w:val="3DA30A8F"/>
    <w:rsid w:val="3EF55B80"/>
    <w:rsid w:val="46FA6FB5"/>
    <w:rsid w:val="4B481704"/>
    <w:rsid w:val="4C6477E3"/>
    <w:rsid w:val="4D1245F6"/>
    <w:rsid w:val="4DD944F7"/>
    <w:rsid w:val="536754ED"/>
    <w:rsid w:val="5A997331"/>
    <w:rsid w:val="5B1F58B2"/>
    <w:rsid w:val="5DFB4F94"/>
    <w:rsid w:val="61F73B75"/>
    <w:rsid w:val="62BB05B6"/>
    <w:rsid w:val="64322AF9"/>
    <w:rsid w:val="65D116BB"/>
    <w:rsid w:val="6A6C4079"/>
    <w:rsid w:val="6E0C7F17"/>
    <w:rsid w:val="749640A8"/>
    <w:rsid w:val="74B43755"/>
    <w:rsid w:val="756845CD"/>
    <w:rsid w:val="7D940B12"/>
    <w:rsid w:val="7E2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B491B"/>
  <w15:docId w15:val="{F08E8AB6-C180-4388-9B12-C3FD25C9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rsid w:val="003C3B59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_GB2312" w:eastAsia="仿宋_GB2312" w:hAnsi="仿宋_GB2312" w:cs="仿宋_GB2312"/>
      <w:sz w:val="28"/>
      <w:szCs w:val="28"/>
    </w:rPr>
  </w:style>
  <w:style w:type="paragraph" w:customStyle="1" w:styleId="TableParagraph">
    <w:name w:val="Table Paragraph"/>
    <w:basedOn w:val="a"/>
    <w:rPr>
      <w:rFonts w:cs="Times New Roman" w:hint="eastAsia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蒋娟</dc:creator>
  <cp:lastModifiedBy>微软用户</cp:lastModifiedBy>
  <cp:revision>2</cp:revision>
  <cp:lastPrinted>2022-12-08T01:02:00Z</cp:lastPrinted>
  <dcterms:created xsi:type="dcterms:W3CDTF">2022-12-27T06:59:00Z</dcterms:created>
  <dcterms:modified xsi:type="dcterms:W3CDTF">2022-12-27T06:59:00Z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9D5032EC36EF4E2D8F7B33FD54AE0236</vt:lpwstr>
  </property>
</Properties>
</file>